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</w:pPr>
      <w:r>
        <w:rPr>
          <w:rFonts w:ascii="Times New Roman" w:hAnsi="Times New Roman"/>
        </w:rPr>
        <w:t xml:space="preserve">                                                                      </w:t>
      </w:r>
      <w:r>
        <w:rPr>
          <w:rFonts w:ascii="Times New Roman" w:hAnsi="Times New Roman"/>
        </w:rPr>
        <w:t>УТВЕРЖДЕН</w:t>
      </w:r>
    </w:p>
    <w:p>
      <w:pPr>
        <w:pStyle w:val="style0"/>
        <w:jc w:val="center"/>
      </w:pPr>
      <w:r>
        <w:rPr>
          <w:rFonts w:ascii="Times New Roman" w:hAnsi="Times New Roman"/>
        </w:rPr>
        <w:t xml:space="preserve">                                                                 </w:t>
      </w:r>
      <w:r>
        <w:rPr>
          <w:rFonts w:ascii="Times New Roman" w:hAnsi="Times New Roman"/>
        </w:rPr>
        <w:t xml:space="preserve">постановлением администрации города </w:t>
      </w:r>
    </w:p>
    <w:p>
      <w:pPr>
        <w:pStyle w:val="style0"/>
        <w:jc w:val="center"/>
      </w:pPr>
      <w:r>
        <w:rPr>
          <w:rFonts w:ascii="Times New Roman" w:hAnsi="Times New Roman"/>
        </w:rPr>
        <w:t xml:space="preserve">                                                                    </w:t>
      </w:r>
      <w:r>
        <w:rPr>
          <w:rFonts w:ascii="Times New Roman" w:hAnsi="Times New Roman"/>
        </w:rPr>
        <w:t>от 27.02.2015  № 307</w:t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>
          <w:rFonts w:ascii="Times New Roman" w:hAnsi="Times New Roman"/>
        </w:rPr>
        <w:t xml:space="preserve">Отчет </w:t>
      </w:r>
    </w:p>
    <w:p>
      <w:pPr>
        <w:pStyle w:val="style0"/>
        <w:jc w:val="center"/>
      </w:pPr>
      <w:r>
        <w:rPr>
          <w:rFonts w:ascii="Times New Roman" w:hAnsi="Times New Roman"/>
        </w:rPr>
        <w:t>о ходе реализации муниципальной программы города Рассказово</w:t>
      </w:r>
    </w:p>
    <w:p>
      <w:pPr>
        <w:pStyle w:val="style0"/>
        <w:jc w:val="center"/>
      </w:pPr>
      <w:r>
        <w:rPr>
          <w:rFonts w:ascii="Times New Roman" w:hAnsi="Times New Roman"/>
        </w:rPr>
        <w:t>«Развитие культуры» на 2014-2020 годы за 2014 год.</w:t>
      </w:r>
    </w:p>
    <w:p>
      <w:pPr>
        <w:pStyle w:val="style0"/>
        <w:jc w:val="both"/>
      </w:pPr>
      <w:bookmarkStart w:id="0" w:name="_GoBack"/>
      <w:bookmarkStart w:id="1" w:name="_GoBack"/>
      <w:bookmarkEnd w:id="1"/>
      <w:r>
        <w:rPr/>
      </w:r>
    </w:p>
    <w:p>
      <w:pPr>
        <w:pStyle w:val="style0"/>
        <w:jc w:val="both"/>
      </w:pPr>
      <w:r>
        <w:rPr/>
      </w:r>
    </w:p>
    <w:p>
      <w:pPr>
        <w:pStyle w:val="style0"/>
        <w:spacing w:after="0" w:before="0" w:line="100" w:lineRule="atLeast"/>
        <w:ind w:firstLine="708" w:left="0" w:right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Муниципальная программа города Рассказово Тамбовской области </w:t>
      </w:r>
      <w:r>
        <w:rPr>
          <w:rFonts w:ascii="Times New Roman" w:cs="Times New Roman" w:eastAsia="Times New Roman" w:hAnsi="Times New Roman"/>
          <w:bCs/>
          <w:sz w:val="24"/>
          <w:szCs w:val="24"/>
        </w:rPr>
        <w:t xml:space="preserve">«Развитие культуры»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на 2014-2020 годы </w:t>
      </w:r>
      <w:r>
        <w:rPr>
          <w:rFonts w:ascii="Times New Roman" w:cs="Times New Roman" w:eastAsia="Times New Roman" w:hAnsi="Times New Roman"/>
          <w:bCs/>
          <w:sz w:val="24"/>
          <w:szCs w:val="24"/>
        </w:rPr>
        <w:t xml:space="preserve">утверждена постановлением администрации города от 28.11.2013 №2110  в соответствии с постановлениями администрации </w:t>
      </w:r>
      <w:r>
        <w:rPr>
          <w:rFonts w:ascii="Times New Roman" w:cs="Times New Roman" w:eastAsia="Times New Roman" w:hAnsi="Times New Roman"/>
          <w:sz w:val="24"/>
          <w:szCs w:val="24"/>
        </w:rPr>
        <w:t>города: от 04.10.2013 №1756 «Об утверждении Порядка разработки, утверждения и реализации муниципальных программ города Рассказово», от 09.10.2013 № 1766 «Об утверждении Перечня и графика разработки муниципальных программ города Рассказово».</w:t>
      </w:r>
    </w:p>
    <w:p>
      <w:pPr>
        <w:pStyle w:val="style0"/>
        <w:spacing w:after="0" w:before="0" w:line="100" w:lineRule="atLeast"/>
        <w:ind w:firstLine="708" w:left="0" w:right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>Муниципальной программой предусмотрены 3 подпрограммы:</w:t>
      </w:r>
    </w:p>
    <w:p>
      <w:pPr>
        <w:pStyle w:val="style0"/>
        <w:widowControl w:val="false"/>
        <w:numPr>
          <w:ilvl w:val="0"/>
          <w:numId w:val="2"/>
        </w:numPr>
        <w:spacing w:after="0" w:before="0" w:line="100" w:lineRule="atLeast"/>
      </w:pPr>
      <w:r>
        <w:rPr>
          <w:rFonts w:ascii="Times New Roman" w:cs="Times New Roman" w:eastAsia="Times New Roman" w:hAnsi="Times New Roman"/>
          <w:sz w:val="24"/>
          <w:szCs w:val="24"/>
        </w:rPr>
        <w:t>«Сохранение культурных и исторических ценностей»;</w:t>
      </w:r>
    </w:p>
    <w:p>
      <w:pPr>
        <w:pStyle w:val="style0"/>
        <w:widowControl w:val="false"/>
        <w:numPr>
          <w:ilvl w:val="0"/>
          <w:numId w:val="2"/>
        </w:numPr>
        <w:spacing w:after="0" w:before="0" w:line="100" w:lineRule="atLeast"/>
      </w:pPr>
      <w:r>
        <w:rPr>
          <w:rFonts w:ascii="Times New Roman" w:cs="Times New Roman" w:eastAsia="Times New Roman" w:hAnsi="Times New Roman"/>
          <w:sz w:val="24"/>
          <w:szCs w:val="24"/>
        </w:rPr>
        <w:t>«Развитие дополнительного художественного образования и творчества»;</w:t>
      </w:r>
    </w:p>
    <w:p>
      <w:pPr>
        <w:pStyle w:val="style0"/>
        <w:widowControl w:val="false"/>
        <w:numPr>
          <w:ilvl w:val="0"/>
          <w:numId w:val="2"/>
        </w:numPr>
        <w:tabs>
          <w:tab w:leader="none" w:pos="0" w:val="left"/>
          <w:tab w:leader="none" w:pos="708" w:val="left"/>
        </w:tabs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>«Патриотическое воспитание населения».</w:t>
      </w:r>
    </w:p>
    <w:p>
      <w:pPr>
        <w:pStyle w:val="style0"/>
        <w:spacing w:after="0" w:before="0" w:line="100" w:lineRule="atLeast"/>
        <w:ind w:firstLine="708" w:left="0" w:right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>Главной целью муниципальной программы «Развитие культуры» является обеспечение развития культурного творчества населения, инноваций в сфере культуры через сохранение, эффективное использование и пополнение культурного потенциала города и области.</w:t>
      </w:r>
      <w:r>
        <w:rPr>
          <w:rFonts w:ascii="Times New Roman" w:cs="Times New Roman" w:eastAsia="Lucida Sans Unicode" w:hAnsi="Times New Roman"/>
          <w:sz w:val="24"/>
          <w:szCs w:val="24"/>
          <w:lang w:eastAsia="ar-SA"/>
        </w:rPr>
        <w:t xml:space="preserve"> По муниципальной программе «Развитие культуры» на 2014-2020 годы на 2014 год запланированы денежные средства в размере </w:t>
      </w:r>
      <w:r>
        <w:rPr>
          <w:rFonts w:ascii="Times New Roman" w:cs="Times New Roman" w:eastAsia="Lucida Sans Unicode" w:hAnsi="Times New Roman"/>
          <w:b/>
          <w:sz w:val="24"/>
          <w:szCs w:val="24"/>
          <w:lang w:eastAsia="ar-SA"/>
        </w:rPr>
        <w:t>27134,6</w:t>
      </w:r>
      <w:r>
        <w:rPr>
          <w:rFonts w:ascii="Times New Roman" w:cs="Times New Roman" w:eastAsia="Lucida Sans Unicode" w:hAnsi="Times New Roman"/>
          <w:sz w:val="24"/>
          <w:szCs w:val="24"/>
          <w:lang w:eastAsia="ar-SA"/>
        </w:rPr>
        <w:t xml:space="preserve"> тыс. руб., из них  средства федерального бюджета </w:t>
      </w:r>
      <w:r>
        <w:rPr>
          <w:rFonts w:ascii="Times New Roman" w:cs="Times New Roman" w:eastAsia="Lucida Sans Unicode" w:hAnsi="Times New Roman"/>
          <w:b/>
          <w:sz w:val="24"/>
          <w:szCs w:val="24"/>
          <w:lang w:eastAsia="ar-SA"/>
        </w:rPr>
        <w:t>300,0</w:t>
      </w:r>
      <w:r>
        <w:rPr>
          <w:rFonts w:ascii="Times New Roman" w:cs="Times New Roman" w:eastAsia="Lucida Sans Unicode" w:hAnsi="Times New Roman"/>
          <w:sz w:val="24"/>
          <w:szCs w:val="24"/>
          <w:lang w:eastAsia="ar-SA"/>
        </w:rPr>
        <w:t xml:space="preserve"> тыс. руб., областного бюджета </w:t>
      </w:r>
      <w:r>
        <w:rPr>
          <w:rFonts w:ascii="Times New Roman" w:cs="Times New Roman" w:eastAsia="Lucida Sans Unicode" w:hAnsi="Times New Roman"/>
          <w:b/>
          <w:sz w:val="24"/>
          <w:szCs w:val="24"/>
          <w:lang w:eastAsia="ar-SA"/>
        </w:rPr>
        <w:t>258,8</w:t>
      </w:r>
      <w:r>
        <w:rPr>
          <w:rFonts w:ascii="Times New Roman" w:cs="Times New Roman" w:eastAsia="Lucida Sans Unicode" w:hAnsi="Times New Roman"/>
          <w:sz w:val="24"/>
          <w:szCs w:val="24"/>
          <w:lang w:eastAsia="ar-SA"/>
        </w:rPr>
        <w:t xml:space="preserve"> тыс. руб. городского бюджета </w:t>
      </w:r>
      <w:r>
        <w:rPr>
          <w:rFonts w:ascii="Times New Roman" w:cs="Times New Roman" w:eastAsia="Lucida Sans Unicode" w:hAnsi="Times New Roman"/>
          <w:b/>
          <w:sz w:val="24"/>
          <w:szCs w:val="24"/>
          <w:lang w:eastAsia="ar-SA"/>
        </w:rPr>
        <w:t>25450,6</w:t>
      </w:r>
      <w:r>
        <w:rPr>
          <w:rFonts w:ascii="Times New Roman" w:cs="Times New Roman" w:eastAsia="Lucida Sans Unicode" w:hAnsi="Times New Roman"/>
          <w:sz w:val="24"/>
          <w:szCs w:val="24"/>
          <w:lang w:eastAsia="ar-SA"/>
        </w:rPr>
        <w:t xml:space="preserve"> тыс. руб., внебюджетные средства – </w:t>
      </w:r>
      <w:r>
        <w:rPr>
          <w:rFonts w:ascii="Times New Roman" w:cs="Times New Roman" w:eastAsia="Lucida Sans Unicode" w:hAnsi="Times New Roman"/>
          <w:b/>
          <w:sz w:val="24"/>
          <w:szCs w:val="24"/>
          <w:lang w:eastAsia="ar-SA"/>
        </w:rPr>
        <w:t>1095,0</w:t>
      </w:r>
      <w:r>
        <w:rPr>
          <w:rFonts w:ascii="Times New Roman" w:cs="Times New Roman" w:eastAsia="Lucida Sans Unicode" w:hAnsi="Times New Roman"/>
          <w:sz w:val="24"/>
          <w:szCs w:val="24"/>
          <w:lang w:eastAsia="ar-SA"/>
        </w:rPr>
        <w:t xml:space="preserve"> тыс. руб., </w:t>
      </w:r>
    </w:p>
    <w:p>
      <w:pPr>
        <w:pStyle w:val="style0"/>
        <w:jc w:val="both"/>
      </w:pPr>
      <w:r>
        <w:rPr>
          <w:rFonts w:ascii="Times New Roman" w:eastAsia="Times New Roman" w:hAnsi="Times New Roman"/>
          <w:color w:val="00000A"/>
        </w:rPr>
        <w:t xml:space="preserve">         </w:t>
      </w:r>
      <w:r>
        <w:rPr>
          <w:rFonts w:ascii="Times New Roman" w:hAnsi="Times New Roman"/>
        </w:rPr>
        <w:t xml:space="preserve">На территории города Рассказово функционируют четыре муниципальных учреждения культуры: МБУ «Культурно-досуговое объединение», МБУ «Централизованная библиотечная система» (в структуру Централизованной библиотечной системы входят: </w:t>
      </w:r>
      <w:r>
        <w:rPr>
          <w:rFonts w:ascii="Times New Roman" w:hAnsi="Times New Roman"/>
          <w:lang w:eastAsia="ar-SA"/>
        </w:rPr>
        <w:t>Центральная городская библиотека, Городская библиотека (филиал №1), Детская городская библиотека (филиал №2)»</w:t>
      </w:r>
      <w:r>
        <w:rPr>
          <w:rFonts w:ascii="Times New Roman" w:hAnsi="Times New Roman"/>
        </w:rPr>
        <w:t>, МБУ «Краеведческий музей города Рассказово» и МБОУ ДОД «Детская школа искусств №1 г. Рассказово» переименованная с МБОУ ДОД «Детская музыкальная школа №1 г. Рассказово» постановлением администрации города Рассказово № 1143 от 23.06.2014.</w:t>
      </w:r>
    </w:p>
    <w:p>
      <w:pPr>
        <w:pStyle w:val="style0"/>
        <w:jc w:val="both"/>
      </w:pP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>Отдел по делам культуры, спорта и вопросам молодежной политики администрации г. Рассказово в 2014 году направил свою работу и подведомственные учреждения культуры и искусства на выполнение городской программы «Культура города Рассказово на 2014-2020 годы», а также строил свою работу в связи с объявленным Годом культуры в РФ.</w:t>
      </w:r>
    </w:p>
    <w:p>
      <w:pPr>
        <w:pStyle w:val="style0"/>
        <w:spacing w:after="0" w:before="0" w:line="100" w:lineRule="atLeast"/>
        <w:ind w:firstLine="708" w:left="0" w:right="0"/>
        <w:jc w:val="both"/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cs="Times New Roman" w:eastAsia="Lucida Sans Unicode" w:hAnsi="Times New Roman"/>
          <w:sz w:val="24"/>
          <w:szCs w:val="24"/>
          <w:lang w:eastAsia="ar-SA"/>
        </w:rPr>
        <w:t xml:space="preserve">В отчетном периоде всего по программе освоено </w:t>
      </w:r>
      <w:r>
        <w:rPr>
          <w:rFonts w:ascii="Times New Roman" w:cs="Times New Roman" w:eastAsia="Lucida Sans Unicode" w:hAnsi="Times New Roman"/>
          <w:b/>
          <w:sz w:val="24"/>
          <w:szCs w:val="24"/>
          <w:lang w:eastAsia="ar-SA"/>
        </w:rPr>
        <w:t>26744,1</w:t>
      </w:r>
      <w:r>
        <w:rPr>
          <w:rFonts w:ascii="Times New Roman" w:cs="Times New Roman" w:eastAsia="Lucida Sans Unicode" w:hAnsi="Times New Roman"/>
          <w:sz w:val="24"/>
          <w:szCs w:val="24"/>
          <w:lang w:eastAsia="ar-SA"/>
        </w:rPr>
        <w:t xml:space="preserve">  тыс. руб. (98,6%), из них внебюджетные источники </w:t>
      </w:r>
      <w:r>
        <w:rPr>
          <w:rFonts w:ascii="Times New Roman" w:cs="Times New Roman" w:eastAsia="Lucida Sans Unicode" w:hAnsi="Times New Roman"/>
          <w:b/>
          <w:sz w:val="24"/>
          <w:szCs w:val="24"/>
          <w:lang w:eastAsia="ar-SA"/>
        </w:rPr>
        <w:t>1100,0</w:t>
      </w:r>
      <w:r>
        <w:rPr>
          <w:rFonts w:ascii="Times New Roman" w:cs="Times New Roman" w:eastAsia="Lucida Sans Unicode" w:hAnsi="Times New Roman"/>
          <w:sz w:val="24"/>
          <w:szCs w:val="24"/>
          <w:lang w:eastAsia="ar-SA"/>
        </w:rPr>
        <w:t xml:space="preserve"> тыс. рублей (100,5 %), средства городского  бюджета  на сумму  </w:t>
      </w:r>
      <w:r>
        <w:rPr>
          <w:rFonts w:ascii="Times New Roman" w:cs="Times New Roman" w:eastAsia="Lucida Sans Unicode" w:hAnsi="Times New Roman"/>
          <w:b/>
          <w:sz w:val="24"/>
          <w:szCs w:val="24"/>
          <w:lang w:eastAsia="ar-SA"/>
        </w:rPr>
        <w:t>25085,3</w:t>
      </w:r>
      <w:r>
        <w:rPr>
          <w:rFonts w:ascii="Times New Roman" w:cs="Times New Roman" w:eastAsia="Lucida Sans Unicode" w:hAnsi="Times New Roman"/>
          <w:sz w:val="24"/>
          <w:szCs w:val="24"/>
          <w:lang w:eastAsia="ar-SA"/>
        </w:rPr>
        <w:t xml:space="preserve">   тыс. руб. (98,6%). Средства внебюджетных источников были направлены на проведение городских праздничных мероприятий с участием артистов г. Москва, Воронеж, а также на проведение праздничных фейерверков.</w:t>
      </w:r>
    </w:p>
    <w:p>
      <w:pPr>
        <w:pStyle w:val="style0"/>
        <w:spacing w:after="0" w:before="0" w:line="100" w:lineRule="atLeast"/>
        <w:ind w:firstLine="708" w:left="0" w:right="0"/>
        <w:jc w:val="both"/>
      </w:pPr>
      <w:r>
        <w:rPr>
          <w:rFonts w:ascii="Times New Roman" w:cs="Times New Roman" w:eastAsia="Times New Roman" w:hAnsi="Times New Roman"/>
          <w:color w:val="00000A"/>
          <w:sz w:val="24"/>
          <w:szCs w:val="24"/>
        </w:rPr>
        <w:t>Подпрограмма «Сохранение культурных и исторических ценностей» предусматривает основные мероприятия:</w:t>
      </w:r>
    </w:p>
    <w:p>
      <w:pPr>
        <w:pStyle w:val="style0"/>
        <w:tabs>
          <w:tab w:leader="none" w:pos="708" w:val="left"/>
        </w:tabs>
        <w:spacing w:after="0" w:before="0" w:line="100" w:lineRule="atLeast"/>
        <w:ind w:firstLine="709" w:left="0" w:right="0"/>
        <w:jc w:val="both"/>
      </w:pPr>
      <w:r>
        <w:rPr>
          <w:rFonts w:ascii="Times New Roman" w:cs="Times New Roman" w:eastAsia="Times New Roman" w:hAnsi="Times New Roman"/>
          <w:color w:val="00000A"/>
          <w:sz w:val="24"/>
          <w:szCs w:val="24"/>
        </w:rPr>
        <w:t>- сохранение, использование, популяризация и государственная охрана объектов культурного наследия региона;</w:t>
      </w:r>
    </w:p>
    <w:p>
      <w:pPr>
        <w:pStyle w:val="style0"/>
        <w:tabs>
          <w:tab w:leader="none" w:pos="708" w:val="left"/>
        </w:tabs>
        <w:spacing w:after="0" w:before="0" w:line="100" w:lineRule="atLeast"/>
        <w:ind w:firstLine="709" w:left="0" w:right="0"/>
        <w:jc w:val="both"/>
      </w:pPr>
      <w:r>
        <w:rPr>
          <w:rFonts w:ascii="Times New Roman" w:cs="Times New Roman" w:eastAsia="Times New Roman" w:hAnsi="Times New Roman"/>
          <w:color w:val="00000A"/>
          <w:sz w:val="24"/>
          <w:szCs w:val="24"/>
        </w:rPr>
        <w:t>- развитие библиотечного дела;</w:t>
      </w:r>
    </w:p>
    <w:p>
      <w:pPr>
        <w:pStyle w:val="style0"/>
        <w:tabs>
          <w:tab w:leader="none" w:pos="708" w:val="left"/>
        </w:tabs>
        <w:spacing w:after="0" w:before="0" w:line="100" w:lineRule="atLeast"/>
        <w:ind w:firstLine="709" w:left="0" w:right="0"/>
        <w:jc w:val="both"/>
      </w:pPr>
      <w:r>
        <w:rPr>
          <w:rFonts w:ascii="Times New Roman" w:cs="Times New Roman" w:eastAsia="Times New Roman" w:hAnsi="Times New Roman"/>
          <w:color w:val="00000A"/>
          <w:sz w:val="24"/>
          <w:szCs w:val="24"/>
        </w:rPr>
        <w:t>- развитие музейного дела.</w:t>
      </w:r>
    </w:p>
    <w:p>
      <w:pPr>
        <w:pStyle w:val="style0"/>
        <w:tabs>
          <w:tab w:leader="none" w:pos="708" w:val="left"/>
        </w:tabs>
        <w:suppressAutoHyphens w:val="true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   </w:t>
      </w:r>
      <w:r>
        <w:rPr>
          <w:rFonts w:ascii="Times New Roman" w:cs="Times New Roman" w:eastAsia="Times New Roman" w:hAnsi="Times New Roman"/>
          <w:sz w:val="24"/>
          <w:szCs w:val="24"/>
        </w:rPr>
        <w:tab/>
        <w:t>В отчетном периоде муниципальным бюджетным учреждением «Краеведческий музей г. Рассказово» проведено 405 экскурсий, 28 выставок. Осуществлено поступлений в основной фонд 301 экспонат. Число посещений учреждения составило 5688 чел.</w:t>
      </w:r>
    </w:p>
    <w:p>
      <w:pPr>
        <w:pStyle w:val="style0"/>
        <w:tabs>
          <w:tab w:leader="none" w:pos="708" w:val="left"/>
        </w:tabs>
        <w:suppressAutoHyphens w:val="true"/>
        <w:spacing w:after="0" w:before="0" w:line="100" w:lineRule="atLeast"/>
        <w:jc w:val="both"/>
      </w:pPr>
      <w:r>
        <w:rPr>
          <w:rFonts w:ascii="Times New Roman" w:cs="Times New Roman" w:eastAsia="SimSun" w:hAnsi="Times New Roman"/>
          <w:color w:val="00000A"/>
          <w:sz w:val="24"/>
          <w:szCs w:val="24"/>
        </w:rPr>
        <w:t xml:space="preserve">        </w:t>
      </w:r>
      <w:r>
        <w:rPr>
          <w:rFonts w:ascii="Times New Roman" w:cs="Times New Roman" w:eastAsia="Times New Roman" w:hAnsi="Times New Roman"/>
          <w:sz w:val="24"/>
          <w:szCs w:val="24"/>
        </w:rPr>
        <w:t>Краеведческий музей города, помимо стационарных выставок в учреждении, в первом полугодии успешно реализовывал арт-проект «Музей в чемодане», целью которого является приобщение детей младшего возраста к духовно-нравственным ценностям на ранней стадии развития личности ребенка. В рамках данного проекта сотрудники музея проводят в детских дошкольных учреждениях культурно-познавательные мероприятия и мастер-классы с использованием предметов музейного фонда.</w:t>
      </w:r>
    </w:p>
    <w:p>
      <w:pPr>
        <w:pStyle w:val="style0"/>
        <w:tabs>
          <w:tab w:leader="none" w:pos="708" w:val="left"/>
        </w:tabs>
        <w:suppressAutoHyphens w:val="true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         </w:t>
      </w:r>
      <w:r>
        <w:rPr>
          <w:rFonts w:ascii="Times New Roman" w:cs="Times New Roman" w:eastAsia="Times New Roman" w:hAnsi="Times New Roman"/>
          <w:sz w:val="24"/>
          <w:szCs w:val="24"/>
        </w:rPr>
        <w:tab/>
        <w:t xml:space="preserve">Муниципальным бюджетным учреждением </w:t>
      </w:r>
      <w:r>
        <w:rPr>
          <w:rFonts w:ascii="Times New Roman" w:cs="Times New Roman" w:eastAsia="Times New Roman" w:hAnsi="Times New Roman"/>
          <w:bCs/>
          <w:sz w:val="24"/>
          <w:szCs w:val="24"/>
        </w:rPr>
        <w:t>«Централизованная библиотечная система»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 выдано 236,4 тысяч экземпляра различной литературы. Всего в библиотечной системе значатся 10908 читателей, в том числе в возрасте до 14 лет – 4912 человек. В текущем году библиотеки посетили 91510 человек, из них в массовых мероприятиях участвовали 5045 человек.</w:t>
      </w:r>
    </w:p>
    <w:p>
      <w:pPr>
        <w:pStyle w:val="style0"/>
        <w:tabs>
          <w:tab w:leader="none" w:pos="708" w:val="left"/>
        </w:tabs>
        <w:suppressAutoHyphens w:val="true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        </w:t>
      </w:r>
      <w:r>
        <w:rPr>
          <w:rFonts w:ascii="Times New Roman" w:cs="Times New Roman" w:eastAsia="Times New Roman" w:hAnsi="Times New Roman"/>
          <w:sz w:val="24"/>
          <w:szCs w:val="24"/>
        </w:rPr>
        <w:t>По подпрограмме «</w:t>
      </w:r>
      <w:r>
        <w:rPr>
          <w:rFonts w:ascii="Times New Roman" w:cs="Times New Roman" w:eastAsia="Times New Roman" w:hAnsi="Times New Roman"/>
          <w:color w:val="00000A"/>
          <w:sz w:val="24"/>
          <w:szCs w:val="24"/>
        </w:rPr>
        <w:t xml:space="preserve">«Сохранение культурных и исторических ценностей» на 2014 год были предусмотрены денежные средства </w:t>
      </w:r>
      <w:r>
        <w:rPr>
          <w:rFonts w:ascii="Times New Roman" w:cs="Times New Roman" w:eastAsia="Times New Roman" w:hAnsi="Times New Roman"/>
          <w:b/>
          <w:color w:val="00000A"/>
          <w:sz w:val="24"/>
          <w:szCs w:val="24"/>
        </w:rPr>
        <w:t>7194,0</w:t>
      </w:r>
      <w:r>
        <w:rPr>
          <w:rFonts w:ascii="Times New Roman" w:cs="Times New Roman" w:eastAsia="Times New Roman" w:hAnsi="Times New Roman"/>
          <w:color w:val="00000A"/>
          <w:sz w:val="24"/>
          <w:szCs w:val="24"/>
        </w:rPr>
        <w:t xml:space="preserve"> тыс. руб., из областного бюджета </w:t>
      </w:r>
      <w:r>
        <w:rPr>
          <w:rFonts w:ascii="Times New Roman" w:cs="Times New Roman" w:eastAsia="Times New Roman" w:hAnsi="Times New Roman"/>
          <w:b/>
          <w:color w:val="00000A"/>
          <w:sz w:val="24"/>
          <w:szCs w:val="24"/>
        </w:rPr>
        <w:t>193,7</w:t>
      </w:r>
      <w:r>
        <w:rPr>
          <w:rFonts w:ascii="Times New Roman" w:cs="Times New Roman" w:eastAsia="Times New Roman" w:hAnsi="Times New Roman"/>
          <w:color w:val="00000A"/>
          <w:sz w:val="24"/>
          <w:szCs w:val="24"/>
        </w:rPr>
        <w:t xml:space="preserve"> тыс. руб., из городского бюджета </w:t>
      </w:r>
      <w:r>
        <w:rPr>
          <w:rFonts w:ascii="Times New Roman" w:cs="Times New Roman" w:eastAsia="Times New Roman" w:hAnsi="Times New Roman"/>
          <w:b/>
          <w:color w:val="00000A"/>
          <w:sz w:val="24"/>
          <w:szCs w:val="24"/>
        </w:rPr>
        <w:t>7000,3</w:t>
      </w:r>
      <w:r>
        <w:rPr>
          <w:rFonts w:ascii="Times New Roman" w:cs="Times New Roman" w:eastAsia="Times New Roman" w:hAnsi="Times New Roman"/>
          <w:color w:val="00000A"/>
          <w:sz w:val="24"/>
          <w:szCs w:val="24"/>
        </w:rPr>
        <w:t xml:space="preserve"> тыс. руб. За отчетный период были освоены денежные средства в размере </w:t>
      </w:r>
      <w:r>
        <w:rPr>
          <w:rFonts w:ascii="Times New Roman" w:cs="Times New Roman" w:eastAsia="Times New Roman" w:hAnsi="Times New Roman"/>
          <w:b/>
          <w:color w:val="00000A"/>
          <w:sz w:val="24"/>
          <w:szCs w:val="24"/>
        </w:rPr>
        <w:t>7165,2</w:t>
      </w:r>
      <w:r>
        <w:rPr>
          <w:rFonts w:ascii="Times New Roman" w:cs="Times New Roman" w:eastAsia="Times New Roman" w:hAnsi="Times New Roman"/>
          <w:color w:val="00000A"/>
          <w:sz w:val="24"/>
          <w:szCs w:val="24"/>
        </w:rPr>
        <w:t xml:space="preserve"> тыс. руб.(99,6%), средства областного бюджета в размере </w:t>
      </w:r>
      <w:r>
        <w:rPr>
          <w:rFonts w:ascii="Times New Roman" w:cs="Times New Roman" w:eastAsia="Times New Roman" w:hAnsi="Times New Roman"/>
          <w:b/>
          <w:color w:val="00000A"/>
          <w:sz w:val="24"/>
          <w:szCs w:val="24"/>
        </w:rPr>
        <w:t>193,7</w:t>
      </w:r>
      <w:r>
        <w:rPr>
          <w:rFonts w:ascii="Times New Roman" w:cs="Times New Roman" w:eastAsia="Times New Roman" w:hAnsi="Times New Roman"/>
          <w:color w:val="00000A"/>
          <w:sz w:val="24"/>
          <w:szCs w:val="24"/>
        </w:rPr>
        <w:t xml:space="preserve"> тыс. руб.(100%), городского бюджета </w:t>
      </w:r>
      <w:r>
        <w:rPr>
          <w:rFonts w:ascii="Times New Roman" w:cs="Times New Roman" w:eastAsia="Times New Roman" w:hAnsi="Times New Roman"/>
          <w:b/>
          <w:color w:val="00000A"/>
          <w:sz w:val="24"/>
          <w:szCs w:val="24"/>
        </w:rPr>
        <w:t>6971,5</w:t>
      </w:r>
      <w:r>
        <w:rPr>
          <w:rFonts w:ascii="Times New Roman" w:cs="Times New Roman" w:eastAsia="Times New Roman" w:hAnsi="Times New Roman"/>
          <w:color w:val="00000A"/>
          <w:sz w:val="24"/>
          <w:szCs w:val="24"/>
        </w:rPr>
        <w:t xml:space="preserve"> тыс. руб.(99,6%).</w:t>
      </w:r>
    </w:p>
    <w:p>
      <w:pPr>
        <w:pStyle w:val="style0"/>
        <w:tabs>
          <w:tab w:leader="none" w:pos="708" w:val="left"/>
        </w:tabs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        </w:t>
      </w:r>
      <w:r>
        <w:rPr>
          <w:rFonts w:ascii="Times New Roman" w:cs="Times New Roman" w:eastAsia="Times New Roman" w:hAnsi="Times New Roman"/>
          <w:color w:val="00000A"/>
          <w:sz w:val="24"/>
          <w:szCs w:val="24"/>
        </w:rPr>
        <w:t>Подпрограмма «Развитие дополнительного художественного образования и творчества» включает мероприятия:</w:t>
      </w:r>
    </w:p>
    <w:p>
      <w:pPr>
        <w:pStyle w:val="style0"/>
        <w:tabs>
          <w:tab w:leader="none" w:pos="708" w:val="left"/>
        </w:tabs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color w:val="00000A"/>
          <w:sz w:val="24"/>
          <w:szCs w:val="24"/>
        </w:rPr>
        <w:t>- сохранение и развитие исполнительских искусств;</w:t>
      </w:r>
    </w:p>
    <w:p>
      <w:pPr>
        <w:pStyle w:val="style0"/>
        <w:jc w:val="both"/>
      </w:pPr>
      <w:r>
        <w:rPr>
          <w:rFonts w:ascii="Times New Roman" w:eastAsia="Times New Roman" w:hAnsi="Times New Roman"/>
        </w:rPr>
        <w:t xml:space="preserve">- сохранение и развитие традиционной народной культуры, нематериального культурного наследия  населения области. На 2014 год по данной подпрограмме запланированы денежные средства </w:t>
      </w:r>
      <w:r>
        <w:rPr>
          <w:rFonts w:ascii="Times New Roman" w:eastAsia="Times New Roman" w:hAnsi="Times New Roman"/>
          <w:b/>
        </w:rPr>
        <w:t>19890,6</w:t>
      </w:r>
      <w:r>
        <w:rPr>
          <w:rFonts w:ascii="Times New Roman" w:eastAsia="Times New Roman" w:hAnsi="Times New Roman"/>
        </w:rPr>
        <w:t xml:space="preserve"> тыс. руб. из них средства федерального бюджета </w:t>
      </w:r>
      <w:r>
        <w:rPr>
          <w:rFonts w:ascii="Times New Roman" w:eastAsia="Times New Roman" w:hAnsi="Times New Roman"/>
          <w:b/>
        </w:rPr>
        <w:t>300,0</w:t>
      </w:r>
      <w:r>
        <w:rPr>
          <w:rFonts w:ascii="Times New Roman" w:eastAsia="Times New Roman" w:hAnsi="Times New Roman"/>
        </w:rPr>
        <w:t xml:space="preserve"> тыс. руб., областного бюджета </w:t>
      </w:r>
      <w:r>
        <w:rPr>
          <w:rFonts w:ascii="Times New Roman" w:eastAsia="Times New Roman" w:hAnsi="Times New Roman"/>
          <w:b/>
        </w:rPr>
        <w:t>65,1</w:t>
      </w:r>
      <w:r>
        <w:rPr>
          <w:rFonts w:ascii="Times New Roman" w:eastAsia="Times New Roman" w:hAnsi="Times New Roman"/>
        </w:rPr>
        <w:t xml:space="preserve"> тыс. руб., городского бюджета </w:t>
      </w:r>
      <w:r>
        <w:rPr>
          <w:rFonts w:ascii="Times New Roman" w:eastAsia="Times New Roman" w:hAnsi="Times New Roman"/>
          <w:b/>
        </w:rPr>
        <w:t>18430,5</w:t>
      </w:r>
      <w:r>
        <w:rPr>
          <w:rFonts w:ascii="Times New Roman" w:eastAsia="Times New Roman" w:hAnsi="Times New Roman"/>
        </w:rPr>
        <w:t xml:space="preserve"> тыс. руб., внебюджетные источники  </w:t>
      </w:r>
      <w:r>
        <w:rPr>
          <w:rFonts w:ascii="Times New Roman" w:eastAsia="Times New Roman" w:hAnsi="Times New Roman"/>
          <w:b/>
        </w:rPr>
        <w:t>1095,0</w:t>
      </w:r>
      <w:r>
        <w:rPr>
          <w:rFonts w:ascii="Times New Roman" w:eastAsia="Times New Roman" w:hAnsi="Times New Roman"/>
        </w:rPr>
        <w:t xml:space="preserve"> тыс. руб. В 2014 году по данной подпрограмме освоены денежные средства в размере </w:t>
      </w:r>
      <w:r>
        <w:rPr>
          <w:rFonts w:ascii="Times New Roman" w:eastAsia="Times New Roman" w:hAnsi="Times New Roman"/>
          <w:b/>
        </w:rPr>
        <w:t>19528,9</w:t>
      </w:r>
      <w:r>
        <w:rPr>
          <w:rFonts w:ascii="Times New Roman" w:eastAsia="Times New Roman" w:hAnsi="Times New Roman"/>
        </w:rPr>
        <w:t xml:space="preserve"> тыс. руб., средства федерального бюджета в размере </w:t>
      </w:r>
      <w:r>
        <w:rPr>
          <w:rFonts w:ascii="Times New Roman" w:eastAsia="Times New Roman" w:hAnsi="Times New Roman"/>
          <w:b/>
        </w:rPr>
        <w:t>300,0</w:t>
      </w:r>
      <w:r>
        <w:rPr>
          <w:rFonts w:ascii="Times New Roman" w:eastAsia="Times New Roman" w:hAnsi="Times New Roman"/>
        </w:rPr>
        <w:t xml:space="preserve"> тыс. руб., областного бюджета </w:t>
      </w:r>
      <w:r>
        <w:rPr>
          <w:rFonts w:ascii="Times New Roman" w:eastAsia="Times New Roman" w:hAnsi="Times New Roman"/>
          <w:b/>
        </w:rPr>
        <w:t>65,1</w:t>
      </w:r>
      <w:r>
        <w:rPr>
          <w:rFonts w:ascii="Times New Roman" w:eastAsia="Times New Roman" w:hAnsi="Times New Roman"/>
        </w:rPr>
        <w:t xml:space="preserve"> тыс. руб., городского бюджета </w:t>
      </w:r>
      <w:r>
        <w:rPr>
          <w:rFonts w:ascii="Times New Roman" w:eastAsia="Times New Roman" w:hAnsi="Times New Roman"/>
          <w:b/>
        </w:rPr>
        <w:t>18063,8</w:t>
      </w:r>
      <w:r>
        <w:rPr>
          <w:rFonts w:ascii="Times New Roman" w:eastAsia="Times New Roman" w:hAnsi="Times New Roman"/>
        </w:rPr>
        <w:t xml:space="preserve"> тыс. руб., средства внебюджетных источников </w:t>
      </w:r>
      <w:r>
        <w:rPr>
          <w:rFonts w:ascii="Times New Roman" w:eastAsia="Times New Roman" w:hAnsi="Times New Roman"/>
          <w:b/>
        </w:rPr>
        <w:t>1100,0</w:t>
      </w:r>
      <w:r>
        <w:rPr>
          <w:rFonts w:ascii="Times New Roman" w:eastAsia="Times New Roman" w:hAnsi="Times New Roman"/>
        </w:rPr>
        <w:t xml:space="preserve"> тыс. руб.</w:t>
      </w:r>
    </w:p>
    <w:p>
      <w:pPr>
        <w:pStyle w:val="style0"/>
        <w:jc w:val="both"/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>В рамках подпрограммы проведено более 50 крупных городских мероприятий, на которых чествовали более 300 человек, среди них: участники Великой Отечественной войны, лучшие работники предприятий, учреждений, организаций, лучшие семьи, творческие коллективы города, победители различных конкурсов, лучшие ученики средних общеобразовательных школ и молодежь.</w:t>
        <w:tab/>
      </w:r>
    </w:p>
    <w:p>
      <w:pPr>
        <w:pStyle w:val="style0"/>
        <w:jc w:val="both"/>
      </w:pPr>
      <w:r>
        <w:rPr>
          <w:rFonts w:ascii="Times New Roman" w:hAnsi="Times New Roman"/>
          <w:lang w:eastAsia="ar-SA"/>
        </w:rPr>
        <w:t xml:space="preserve">      </w:t>
      </w:r>
      <w:r>
        <w:rPr>
          <w:rFonts w:ascii="Times New Roman" w:hAnsi="Times New Roman"/>
          <w:lang w:eastAsia="ar-SA"/>
        </w:rPr>
        <w:t xml:space="preserve">Основные мероприятия в отчетном периоде стали: концерт </w:t>
      </w:r>
      <w:r>
        <w:rPr>
          <w:rFonts w:ascii="Times New Roman" w:cs="Calibri" w:hAnsi="Times New Roman"/>
          <w:lang w:eastAsia="en-US"/>
        </w:rPr>
        <w:t xml:space="preserve">Образцово-показательного оркестра внутренних войск МВД России (г. Москва), в программе которого также выступил победитель 1 сезона тв-проекта «Минута славы» (г. Москва) Максим Такаев (виртуозная игра на аккордеоне); выступление творческих коллективов: Тамбовского музыкального театра Владислава Юрьева с музыкальным шоу «Арена звезд», ансамбля казачьей песни «Держава» г. Воронеж, группы «Доктор Шлягер» и Дениса Майданова (г. Москва), приуроченные также ко Дню города. В день молодежи состоялся фестиваль электронной музыки с участием ди-джеев из г. Москвы. </w:t>
      </w:r>
      <w:r>
        <w:rPr>
          <w:rFonts w:ascii="Times New Roman" w:eastAsia="Calibri" w:hAnsi="Times New Roman"/>
          <w:lang w:eastAsia="en-US"/>
        </w:rPr>
        <w:t xml:space="preserve">Между ТОГАУК «Тамбовтеатр» и МБУ «Культурно-досуговое объединение» подписано соглашение о сотрудничестве в сфере театрального искусства. Предметом данного соглашения является повышение роли театрального искусства в развитии социокультурной сферы области и расширение доступности театрального искусства для различных групп населения. </w:t>
      </w:r>
      <w:r>
        <w:rPr>
          <w:rFonts w:ascii="Times New Roman" w:cs="Calibri" w:hAnsi="Times New Roman"/>
          <w:lang w:eastAsia="en-US"/>
        </w:rPr>
        <w:t xml:space="preserve">В марте и октябре 2014 г. на территории города вновь состоялись гастроли Тамбовского драматического театра; концерт легендарного ансамбля «Синяя птица» (г. Москва); торжественное мероприятие, посвященное 60-летнему юбилею детской музыкальной школы №1 г. Рассказово», городской конкурс «Мистер Рассказово – 2014», отчетные концерты творческих коллективов города, </w:t>
      </w:r>
      <w:r>
        <w:rPr>
          <w:rFonts w:ascii="Times New Roman" w:hAnsi="Times New Roman"/>
        </w:rPr>
        <w:t xml:space="preserve">новогодняя Никольская ярмарка, </w:t>
      </w:r>
    </w:p>
    <w:p>
      <w:pPr>
        <w:pStyle w:val="style0"/>
        <w:widowControl w:val="false"/>
        <w:tabs>
          <w:tab w:leader="none" w:pos="708" w:val="left"/>
          <w:tab w:leader="none" w:pos="1140" w:val="left"/>
        </w:tabs>
        <w:jc w:val="both"/>
      </w:pPr>
      <w:r>
        <w:rPr>
          <w:rFonts w:ascii="Times New Roman" w:cs="Calibri" w:hAnsi="Times New Roman"/>
          <w:lang w:eastAsia="en-US"/>
        </w:rPr>
        <w:t xml:space="preserve">       </w:t>
      </w:r>
      <w:r>
        <w:rPr>
          <w:rFonts w:ascii="Times New Roman" w:cs="Tahoma" w:eastAsia="Andale Sans UI" w:hAnsi="Times New Roman"/>
          <w:lang w:bidi="fa-IR" w:eastAsia="ja-JP"/>
        </w:rPr>
        <w:t>В августе 2014 года в МБОУ ДОД «Детская школа искусств №1 г. Рассказово» были открыты новые отделения: хореография и изобразительное творчество. Число об</w:t>
      </w:r>
      <w:r>
        <w:rPr>
          <w:rFonts w:ascii="Times New Roman" w:cs="Tahoma" w:eastAsia="Andale Sans UI" w:hAnsi="Times New Roman"/>
          <w:lang w:bidi="fa-IR" w:eastAsia="ja-JP" w:val="de-DE"/>
        </w:rPr>
        <w:t>уча</w:t>
      </w:r>
      <w:r>
        <w:rPr>
          <w:rFonts w:ascii="Times New Roman" w:cs="Tahoma" w:eastAsia="Andale Sans UI" w:hAnsi="Times New Roman"/>
          <w:lang w:bidi="fa-IR" w:eastAsia="ja-JP"/>
        </w:rPr>
        <w:t>ю</w:t>
      </w:r>
      <w:r>
        <w:rPr>
          <w:rFonts w:ascii="Times New Roman" w:cs="Tahoma" w:eastAsia="Andale Sans UI" w:hAnsi="Times New Roman"/>
          <w:lang w:bidi="fa-IR" w:eastAsia="ja-JP" w:val="de-DE"/>
        </w:rPr>
        <w:t xml:space="preserve">щихся </w:t>
      </w:r>
      <w:r>
        <w:rPr>
          <w:rFonts w:ascii="Times New Roman" w:cs="Tahoma" w:eastAsia="Andale Sans UI" w:hAnsi="Times New Roman"/>
          <w:lang w:bidi="fa-IR" w:eastAsia="ja-JP"/>
        </w:rPr>
        <w:t xml:space="preserve">на 1 сентября 2014 г. </w:t>
      </w:r>
      <w:r>
        <w:rPr>
          <w:rFonts w:ascii="Times New Roman" w:cs="Tahoma" w:eastAsia="Andale Sans UI" w:hAnsi="Times New Roman"/>
          <w:lang w:bidi="fa-IR" w:eastAsia="ja-JP" w:val="de-DE"/>
        </w:rPr>
        <w:t>состав</w:t>
      </w:r>
      <w:r>
        <w:rPr>
          <w:rFonts w:ascii="Times New Roman" w:cs="Tahoma" w:eastAsia="Andale Sans UI" w:hAnsi="Times New Roman"/>
          <w:lang w:bidi="fa-IR" w:eastAsia="ja-JP"/>
        </w:rPr>
        <w:t xml:space="preserve">ляет </w:t>
      </w:r>
      <w:r>
        <w:rPr>
          <w:rFonts w:ascii="Times New Roman" w:cs="Tahoma" w:eastAsia="Andale Sans UI" w:hAnsi="Times New Roman"/>
          <w:lang w:bidi="fa-IR" w:eastAsia="ja-JP" w:val="de-DE"/>
        </w:rPr>
        <w:t xml:space="preserve"> </w:t>
      </w:r>
      <w:r>
        <w:rPr>
          <w:rFonts w:ascii="Times New Roman" w:cs="Tahoma" w:eastAsia="Andale Sans UI" w:hAnsi="Times New Roman"/>
          <w:lang w:bidi="fa-IR" w:eastAsia="ja-JP"/>
        </w:rPr>
        <w:t>781</w:t>
      </w:r>
      <w:r>
        <w:rPr>
          <w:rFonts w:ascii="Times New Roman" w:cs="Tahoma" w:eastAsia="Andale Sans UI" w:hAnsi="Times New Roman"/>
          <w:lang w:bidi="fa-IR" w:eastAsia="ja-JP" w:val="de-DE"/>
        </w:rPr>
        <w:t xml:space="preserve"> человек</w:t>
      </w:r>
      <w:r>
        <w:rPr>
          <w:rFonts w:ascii="Times New Roman" w:cs="Tahoma" w:eastAsia="Andale Sans UI" w:hAnsi="Times New Roman"/>
          <w:lang w:bidi="fa-IR" w:eastAsia="ja-JP"/>
        </w:rPr>
        <w:t xml:space="preserve">. </w:t>
      </w:r>
      <w:r>
        <w:rPr>
          <w:rFonts w:ascii="Times New Roman" w:hAnsi="Times New Roman"/>
        </w:rPr>
        <w:t>В 2013 году в учреждении открыто отделение раннего-эстетического развития (с 5 лет), а также выездные хоровые классы (в МБОУ СОШ №3)</w:t>
      </w:r>
    </w:p>
    <w:p>
      <w:pPr>
        <w:pStyle w:val="style0"/>
        <w:jc w:val="both"/>
      </w:pPr>
      <w:r>
        <w:rPr>
          <w:rFonts w:ascii="Times New Roman" w:cs="Calibri" w:hAnsi="Times New Roman"/>
          <w:lang w:eastAsia="en-US"/>
        </w:rPr>
        <w:t xml:space="preserve">       </w:t>
      </w:r>
      <w:r>
        <w:rPr>
          <w:rFonts w:ascii="Times New Roman" w:cs="Calibri" w:hAnsi="Times New Roman"/>
          <w:lang w:eastAsia="en-US"/>
        </w:rPr>
        <w:t xml:space="preserve">Воспитанники МБОУ ДОД «Детская школа искусств №1 г. Рассказово»  и участники творческих коллективов МБУ «Культурно-досуговое объединение» принимают активное участие в творческих конкурсах и фестивалях областного, всероссийского и международного уровней. В своих копилках они имеют значительное число побед и наград. </w:t>
      </w:r>
    </w:p>
    <w:p>
      <w:pPr>
        <w:pStyle w:val="style0"/>
        <w:jc w:val="both"/>
      </w:pPr>
      <w:r>
        <w:rPr>
          <w:rFonts w:ascii="Times New Roman" w:cs="Calibri" w:hAnsi="Times New Roman"/>
          <w:lang w:eastAsia="en-US"/>
        </w:rPr>
        <w:t xml:space="preserve">      </w:t>
      </w:r>
      <w:r>
        <w:rPr>
          <w:rFonts w:ascii="Times New Roman" w:cs="Calibri" w:hAnsi="Times New Roman"/>
          <w:lang w:eastAsia="en-US"/>
        </w:rPr>
        <w:t>В областном конкурсе среди муниципальных образований на лучший проект по развитию муниципальных учреждений, осуществляющих свою деятельность в сфере культуры и искусства в 2014 в номинации «Создание общероссийской системы доступа к Национальной электронной библиотеке» в числе победителей является МБУ ЦБС г. Рассказово и учреждение получило  денежное поощрение в размере 100,0 тыс. руб. и в номинации «Оснащение и модернизация детских школ искусств (по видам искусств)» в числе победителей значится МБОУ ДОД «Детская школа искусств №1 г. Рассказово» учреждение получило  денежное поощрение в размере 300,0 тыс. руб.</w:t>
      </w:r>
    </w:p>
    <w:p>
      <w:pPr>
        <w:pStyle w:val="style0"/>
        <w:jc w:val="both"/>
      </w:pPr>
      <w:r>
        <w:rPr>
          <w:rFonts w:ascii="Times New Roman" w:cs="Calibri" w:hAnsi="Times New Roman"/>
          <w:lang w:eastAsia="en-US"/>
        </w:rPr>
        <w:t xml:space="preserve">         </w:t>
      </w:r>
      <w:r>
        <w:rPr>
          <w:rFonts w:ascii="Times New Roman" w:cs="Calibri" w:hAnsi="Times New Roman"/>
          <w:lang w:eastAsia="en-US"/>
        </w:rPr>
        <w:t xml:space="preserve">В областном </w:t>
      </w:r>
      <w:r>
        <w:rPr>
          <w:rFonts w:ascii="Times New Roman" w:hAnsi="Times New Roman"/>
        </w:rPr>
        <w:t>конкурсе на «Получение единовременных стимулирующих выплат лучшими работниками государственных и муниципальных учреждений культуры, работниками областных государственных архивов, работниками областных государственных и муниципальных образовательных организаций, реализующих дополнительные предпрофессиональные программы в области искусств в 2014» победителем стала Филиппова Галина Геннадьевна, преподаватель по классу фортепиано МБОУ ДОД «Детская школа искусств №1 г. Рассказово» и Кривошеина Светлана Юрьевна – библиотекарь МБУ «Централизованная библиотечная система» г. Рассказово. Победители получили денежные поощрения в размере 50,0 тыс. руб.</w:t>
      </w:r>
    </w:p>
    <w:p>
      <w:pPr>
        <w:pStyle w:val="style0"/>
        <w:widowControl w:val="false"/>
        <w:tabs>
          <w:tab w:leader="none" w:pos="708" w:val="left"/>
        </w:tabs>
        <w:suppressAutoHyphens w:val="true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4"/>
          <w:lang w:bidi="en-US"/>
        </w:rPr>
        <w:t xml:space="preserve">Всего за отчетный период было проведено 3702 культурно-массовых мероприятия, из них: </w:t>
        <w:tab/>
        <w:t>детских (до 14 лет) — 229; для молодежи (от 15 до 24) — 158.</w:t>
      </w:r>
    </w:p>
    <w:p>
      <w:pPr>
        <w:pStyle w:val="style0"/>
        <w:widowControl w:val="false"/>
        <w:tabs>
          <w:tab w:leader="none" w:pos="0" w:val="left"/>
          <w:tab w:leader="none" w:pos="708" w:val="left"/>
        </w:tabs>
        <w:suppressAutoHyphens w:val="true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b/>
          <w:sz w:val="24"/>
          <w:szCs w:val="24"/>
          <w:lang w:bidi="en-US"/>
        </w:rPr>
        <w:tab/>
      </w:r>
      <w:r>
        <w:rPr>
          <w:rFonts w:ascii="Times New Roman" w:cs="Times New Roman" w:eastAsia="Times New Roman" w:hAnsi="Times New Roman"/>
          <w:sz w:val="24"/>
          <w:szCs w:val="24"/>
          <w:lang w:bidi="en-US"/>
        </w:rPr>
        <w:t>На платной основе проведено 397 мероприятия, их посетили   32816 зрителей, из них детских — 147  (13903 чел.), для молодежи — 112  (3787 чел), киносеансов — 25  (1030 чел.), дискотек – 59 (1223 чел.).</w:t>
      </w:r>
    </w:p>
    <w:p>
      <w:pPr>
        <w:pStyle w:val="style0"/>
        <w:tabs>
          <w:tab w:leader="none" w:pos="708" w:val="left"/>
          <w:tab w:leader="none" w:pos="2700" w:val="left"/>
        </w:tabs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color w:val="00000A"/>
          <w:sz w:val="24"/>
          <w:szCs w:val="24"/>
        </w:rPr>
        <w:t xml:space="preserve">       </w:t>
      </w:r>
      <w:r>
        <w:rPr>
          <w:rFonts w:ascii="Times New Roman" w:cs="Times New Roman" w:eastAsia="Times New Roman" w:hAnsi="Times New Roman"/>
          <w:color w:val="00000A"/>
          <w:sz w:val="24"/>
          <w:szCs w:val="24"/>
        </w:rPr>
        <w:t>Основными мероприятиями подпрограммы «Патриотическое воспитание населения» являются:</w:t>
      </w:r>
    </w:p>
    <w:p>
      <w:pPr>
        <w:pStyle w:val="style0"/>
        <w:spacing w:after="0" w:before="0" w:line="100" w:lineRule="atLeast"/>
        <w:jc w:val="both"/>
      </w:pPr>
      <w:r>
        <w:rPr>
          <w:rFonts w:ascii="Arial" w:cs="Arial" w:eastAsia="Times New Roman" w:hAnsi="Arial"/>
          <w:sz w:val="24"/>
          <w:szCs w:val="24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</w:rPr>
        <w:t>- формирование у граждан высокого патриотического сознания, верности Отечеству, готовности к выполнению  конституционных обязанностей;</w:t>
      </w:r>
    </w:p>
    <w:p>
      <w:pPr>
        <w:pStyle w:val="style0"/>
        <w:tabs>
          <w:tab w:leader="none" w:pos="708" w:val="left"/>
          <w:tab w:leader="none" w:pos="2700" w:val="left"/>
        </w:tabs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color w:val="00000A"/>
          <w:sz w:val="24"/>
          <w:szCs w:val="24"/>
        </w:rPr>
        <w:t xml:space="preserve">  </w:t>
      </w:r>
      <w:r>
        <w:rPr>
          <w:rFonts w:ascii="Times New Roman" w:cs="Times New Roman" w:eastAsia="Times New Roman" w:hAnsi="Times New Roman"/>
          <w:color w:val="00000A"/>
          <w:sz w:val="24"/>
          <w:szCs w:val="24"/>
        </w:rPr>
        <w:t>- привлечение к участию в патриотическом воспитании образовательных учреждений, общественно-государственных и  общественных организаций;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</w:rPr>
        <w:t>- развитие уважительного отношения к героям родного края.</w:t>
      </w:r>
    </w:p>
    <w:p>
      <w:pPr>
        <w:pStyle w:val="style0"/>
        <w:widowControl w:val="false"/>
        <w:tabs>
          <w:tab w:leader="none" w:pos="708" w:val="left"/>
        </w:tabs>
        <w:suppressAutoHyphens w:val="true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В отчетном периоде проведено 30 крупных мероприятий: </w:t>
      </w:r>
    </w:p>
    <w:p>
      <w:pPr>
        <w:pStyle w:val="style0"/>
        <w:widowControl w:val="false"/>
        <w:tabs>
          <w:tab w:leader="none" w:pos="708" w:val="left"/>
        </w:tabs>
        <w:suppressAutoHyphens w:val="true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- торжественное мероприятие, посвященное 25-летней годовщине со дня  вывода войск из Афганистана,  </w:t>
      </w:r>
    </w:p>
    <w:p>
      <w:pPr>
        <w:pStyle w:val="style0"/>
        <w:widowControl w:val="false"/>
        <w:tabs>
          <w:tab w:leader="none" w:pos="708" w:val="left"/>
        </w:tabs>
        <w:suppressAutoHyphens w:val="true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ab/>
        <w:t xml:space="preserve">городской фестиваль героико – патриотической песни, мероприятие посвященного последнему звонку, </w:t>
      </w:r>
    </w:p>
    <w:p>
      <w:pPr>
        <w:pStyle w:val="style0"/>
        <w:widowControl w:val="false"/>
        <w:tabs>
          <w:tab w:leader="none" w:pos="708" w:val="left"/>
        </w:tabs>
        <w:suppressAutoHyphens w:val="true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ab/>
        <w:t xml:space="preserve">акция  к  всемирному дню без табака под девизом «Меняем сигарету на конфету», </w:t>
      </w:r>
    </w:p>
    <w:p>
      <w:pPr>
        <w:pStyle w:val="style0"/>
        <w:widowControl w:val="false"/>
        <w:tabs>
          <w:tab w:leader="none" w:pos="708" w:val="left"/>
        </w:tabs>
        <w:suppressAutoHyphens w:val="true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ab/>
        <w:t xml:space="preserve">мероприятие, посвященное Международному дню защиты детей, праздничные дискотеки, посвященные знаменательным датам. </w:t>
      </w:r>
    </w:p>
    <w:p>
      <w:pPr>
        <w:pStyle w:val="style0"/>
        <w:widowControl w:val="false"/>
        <w:tabs>
          <w:tab w:leader="none" w:pos="708" w:val="left"/>
        </w:tabs>
        <w:suppressAutoHyphens w:val="true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ab/>
      </w:r>
      <w:r>
        <w:rPr>
          <w:rFonts w:ascii="Times New Roman" w:cs="Times New Roman" w:eastAsia="Times New Roman" w:hAnsi="Times New Roman"/>
          <w:sz w:val="24"/>
          <w:szCs w:val="24"/>
          <w:lang w:bidi="fa-IR" w:eastAsia="fa-IR"/>
        </w:rPr>
        <w:t>Наиболее запоминающимся для молодежи стал фестиваль электронной музыки с участием ди-джеев из г. Москвы.</w:t>
      </w:r>
    </w:p>
    <w:p>
      <w:pPr>
        <w:pStyle w:val="style0"/>
        <w:tabs>
          <w:tab w:leader="none" w:pos="708" w:val="left"/>
        </w:tabs>
        <w:suppressAutoHyphens w:val="true"/>
        <w:spacing w:after="0" w:before="0" w:line="100" w:lineRule="atLeast"/>
        <w:ind w:firstLine="720" w:left="0" w:right="0"/>
        <w:jc w:val="both"/>
      </w:pPr>
      <w:r>
        <w:rPr>
          <w:rFonts w:ascii="Times New Roman" w:cs="Times New Roman" w:eastAsia="Times New Roman" w:hAnsi="Times New Roman"/>
          <w:sz w:val="24"/>
          <w:szCs w:val="24"/>
          <w:lang w:eastAsia="en-US"/>
        </w:rPr>
        <w:t>По подпрограмме «Патриотическое воспитание населения» на 2014 год предусмотрено финансирование в размере 50,0 тыс. руб. из городского бюджета. В 2014 году освоено 50,0 тыс. руб.</w:t>
      </w:r>
    </w:p>
    <w:p>
      <w:pPr>
        <w:pStyle w:val="style0"/>
        <w:tabs>
          <w:tab w:leader="none" w:pos="708" w:val="left"/>
        </w:tabs>
        <w:suppressAutoHyphens w:val="true"/>
        <w:spacing w:after="120" w:before="0" w:line="100" w:lineRule="atLeast"/>
        <w:ind w:firstLine="708" w:left="0" w:right="0"/>
        <w:jc w:val="both"/>
      </w:pPr>
      <w:r>
        <w:rPr>
          <w:rFonts w:ascii="Times New Roman" w:cs="Times New Roman" w:eastAsia="Times New Roman" w:hAnsi="Times New Roman"/>
          <w:sz w:val="24"/>
          <w:szCs w:val="24"/>
          <w:lang w:eastAsia="ar-SA"/>
        </w:rPr>
        <w:t xml:space="preserve">Сведения о степени выполнения конкретных </w:t>
      </w:r>
      <w:bookmarkStart w:id="2" w:name="__DdeLink__935_1418453433"/>
      <w:bookmarkEnd w:id="2"/>
      <w:r>
        <w:rPr>
          <w:rFonts w:ascii="Times New Roman" w:cs="Times New Roman" w:eastAsia="Times New Roman" w:hAnsi="Times New Roman"/>
          <w:sz w:val="24"/>
          <w:szCs w:val="24"/>
          <w:lang w:eastAsia="ar-SA"/>
        </w:rPr>
        <w:t>мероприятий, об использовании финансовых средств и выполнении целевых индикаторов в разрезе подпрограмм, приведены в приложении № 1, 2 и 3 к отчету.</w:t>
      </w:r>
    </w:p>
    <w:p>
      <w:pPr>
        <w:pStyle w:val="style0"/>
        <w:jc w:val="both"/>
      </w:pPr>
      <w:r>
        <w:rPr/>
      </w:r>
    </w:p>
    <w:p>
      <w:pPr>
        <w:pStyle w:val="style0"/>
        <w:widowControl w:val="false"/>
        <w:jc w:val="both"/>
      </w:pPr>
      <w:r>
        <w:rPr>
          <w:rFonts w:ascii="Times New Roman" w:hAnsi="Times New Roman"/>
          <w:b/>
          <w:sz w:val="28"/>
          <w:szCs w:val="28"/>
          <w:lang w:bidi="en-US"/>
        </w:rPr>
        <w:t xml:space="preserve">        </w:t>
      </w:r>
    </w:p>
    <w:p>
      <w:pPr>
        <w:pStyle w:val="style0"/>
      </w:pPr>
      <w:r>
        <w:rPr/>
      </w:r>
    </w:p>
    <w:p>
      <w:pPr>
        <w:pStyle w:val="style0"/>
        <w:jc w:val="both"/>
      </w:pPr>
      <w:r>
        <w:rPr>
          <w:rFonts w:ascii="Times New Roman" w:hAnsi="Times New Roman"/>
          <w:sz w:val="28"/>
          <w:szCs w:val="28"/>
        </w:rPr>
        <w:t xml:space="preserve">            </w:t>
      </w:r>
    </w:p>
    <w:p>
      <w:pPr>
        <w:pStyle w:val="style0"/>
      </w:pPr>
      <w:r>
        <w:rPr/>
      </w:r>
    </w:p>
    <w:p>
      <w:pPr>
        <w:pStyle w:val="style0"/>
        <w:widowControl w:val="false"/>
        <w:jc w:val="both"/>
      </w:pPr>
      <w:r>
        <w:rPr/>
      </w:r>
    </w:p>
    <w:p>
      <w:pPr>
        <w:pStyle w:val="style0"/>
        <w:jc w:val="both"/>
      </w:pPr>
      <w:r>
        <w:rPr/>
      </w:r>
    </w:p>
    <w:p>
      <w:pPr>
        <w:pStyle w:val="style0"/>
      </w:pPr>
      <w:r>
        <w:rPr/>
      </w:r>
    </w:p>
    <w:sectPr>
      <w:type w:val="nextPage"/>
      <w:pgSz w:h="16838" w:w="11906"/>
      <w:pgMar w:bottom="1134" w:footer="0" w:gutter="0" w:header="0" w:left="1701" w:right="850" w:top="1134"/>
      <w:pgNumType w:fmt="decimal"/>
      <w:formProt w:val="false"/>
      <w:textDirection w:val="lrTb"/>
      <w:docGrid w:charSpace="-6145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2.%3."/>
      <w:lvlJc w:val="right"/>
      <w:pPr>
        <w:ind w:hanging="180" w:left="2160"/>
      </w:pPr>
    </w:lvl>
    <w:lvl w:ilvl="3">
      <w:start w:val="1"/>
      <w:numFmt w:val="decimal"/>
      <w:lvlText w:val="%2.%3.%4."/>
      <w:lvlJc w:val="left"/>
      <w:pPr>
        <w:ind w:hanging="360" w:left="2880"/>
      </w:pPr>
    </w:lvl>
    <w:lvl w:ilvl="4">
      <w:start w:val="1"/>
      <w:numFmt w:val="lowerLetter"/>
      <w:lvlText w:val="%2.%3.%4.%5."/>
      <w:lvlJc w:val="left"/>
      <w:pPr>
        <w:ind w:hanging="360" w:left="3600"/>
      </w:pPr>
    </w:lvl>
    <w:lvl w:ilvl="5">
      <w:start w:val="1"/>
      <w:numFmt w:val="lowerRoman"/>
      <w:lvlText w:val="%2.%3.%4.%5.%6."/>
      <w:lvlJc w:val="right"/>
      <w:pPr>
        <w:ind w:hanging="180" w:left="4320"/>
      </w:pPr>
    </w:lvl>
    <w:lvl w:ilvl="6">
      <w:start w:val="1"/>
      <w:numFmt w:val="decimal"/>
      <w:lvlText w:val="%2.%3.%4.%5.%6.%7."/>
      <w:lvlJc w:val="left"/>
      <w:pPr>
        <w:ind w:hanging="360" w:left="5040"/>
      </w:pPr>
    </w:lvl>
    <w:lvl w:ilvl="7">
      <w:start w:val="1"/>
      <w:numFmt w:val="lowerLetter"/>
      <w:lvlText w:val="%2.%3.%4.%5.%6.%7.%8."/>
      <w:lvlJc w:val="left"/>
      <w:pPr>
        <w:ind w:hanging="360" w:left="5760"/>
      </w:pPr>
    </w:lvl>
    <w:lvl w:ilvl="8">
      <w:start w:val="1"/>
      <w:numFmt w:val="lowerRoman"/>
      <w:lvlText w:val="%2.%3.%4.%5.%6.%7.%8.%9."/>
      <w:lvlJc w:val="right"/>
      <w:pPr>
        <w:ind w:hanging="180" w:left="6480"/>
      </w:p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  <w:spacing w:after="0" w:before="0" w:line="100" w:lineRule="atLeast"/>
    </w:pPr>
    <w:rPr>
      <w:rFonts w:ascii="Calibri" w:cs="Times New Roman" w:eastAsia="SimSun" w:hAnsi="Calibri"/>
      <w:color w:val="00000A"/>
      <w:sz w:val="24"/>
      <w:szCs w:val="24"/>
      <w:lang w:bidi="ar-SA" w:eastAsia="ru-RU" w:val="ru-RU"/>
    </w:rPr>
  </w:style>
  <w:style w:styleId="style2" w:type="paragraph">
    <w:name w:val="Заголовок 2"/>
    <w:basedOn w:val="style0"/>
    <w:next w:val="style19"/>
    <w:pPr>
      <w:keepNext/>
      <w:keepLines/>
      <w:numPr>
        <w:ilvl w:val="1"/>
        <w:numId w:val="1"/>
      </w:numPr>
      <w:tabs>
        <w:tab w:leader="none" w:pos="1728" w:val="left"/>
      </w:tabs>
      <w:spacing w:after="200" w:before="200"/>
      <w:ind w:hanging="576" w:left="576" w:right="0"/>
      <w:outlineLvl w:val="1"/>
    </w:pPr>
    <w:rPr>
      <w:rFonts w:ascii="Cambria" w:hAnsi="Cambria"/>
      <w:b/>
      <w:bCs/>
      <w:i/>
      <w:iCs/>
      <w:color w:val="4F81BD"/>
      <w:sz w:val="26"/>
      <w:szCs w:val="26"/>
    </w:rPr>
  </w:style>
  <w:style w:styleId="style15" w:type="character">
    <w:name w:val="Default Paragraph Font"/>
    <w:next w:val="style15"/>
    <w:rPr/>
  </w:style>
  <w:style w:styleId="style16" w:type="character">
    <w:name w:val="Заголовок 2 Знак"/>
    <w:basedOn w:val="style15"/>
    <w:next w:val="style16"/>
    <w:rPr>
      <w:rFonts w:ascii="Cambria" w:hAnsi="Cambria"/>
      <w:b/>
      <w:bCs/>
      <w:color w:val="4F81BD"/>
      <w:sz w:val="26"/>
      <w:szCs w:val="26"/>
      <w:lang w:eastAsia="ru-RU"/>
    </w:rPr>
  </w:style>
  <w:style w:styleId="style17" w:type="character">
    <w:name w:val="ListLabel 1"/>
    <w:next w:val="style17"/>
    <w:rPr>
      <w:rFonts w:cs="Courier New"/>
    </w:rPr>
  </w:style>
  <w:style w:styleId="style18" w:type="paragraph">
    <w:name w:val="Заголовок"/>
    <w:basedOn w:val="style0"/>
    <w:next w:val="style19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style19" w:type="paragraph">
    <w:name w:val="Основной текст"/>
    <w:basedOn w:val="style0"/>
    <w:next w:val="style19"/>
    <w:pPr>
      <w:spacing w:after="120" w:before="0"/>
    </w:pPr>
    <w:rPr/>
  </w:style>
  <w:style w:styleId="style20" w:type="paragraph">
    <w:name w:val="Список"/>
    <w:basedOn w:val="style19"/>
    <w:next w:val="style20"/>
    <w:pPr/>
    <w:rPr>
      <w:rFonts w:cs="Mangal"/>
    </w:rPr>
  </w:style>
  <w:style w:styleId="style21" w:type="paragraph">
    <w:name w:val="Название"/>
    <w:basedOn w:val="style0"/>
    <w:next w:val="style21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yle22" w:type="paragraph">
    <w:name w:val="Указатель"/>
    <w:basedOn w:val="style0"/>
    <w:next w:val="style22"/>
    <w:pPr>
      <w:suppressLineNumbers/>
    </w:pPr>
    <w:rPr>
      <w:rFonts w:cs="Mangal"/>
    </w:rPr>
  </w:style>
  <w:style w:styleId="style23" w:type="paragraph">
    <w:name w:val="Заглавие"/>
    <w:basedOn w:val="style0"/>
    <w:next w:val="style24"/>
    <w:pPr>
      <w:suppressLineNumbers/>
      <w:spacing w:after="120" w:before="120"/>
      <w:jc w:val="center"/>
    </w:pPr>
    <w:rPr>
      <w:rFonts w:cs="Mangal"/>
      <w:b/>
      <w:bCs/>
      <w:i/>
      <w:iCs/>
      <w:sz w:val="36"/>
      <w:szCs w:val="36"/>
    </w:rPr>
  </w:style>
  <w:style w:styleId="style24" w:type="paragraph">
    <w:name w:val="Подзаголовок"/>
    <w:basedOn w:val="style18"/>
    <w:next w:val="style19"/>
    <w:pPr>
      <w:jc w:val="center"/>
    </w:pPr>
    <w:rPr>
      <w:i/>
      <w:iCs/>
      <w:sz w:val="28"/>
      <w:szCs w:val="28"/>
    </w:rPr>
  </w:style>
  <w:style w:styleId="style25" w:type="paragraph">
    <w:name w:val="index heading"/>
    <w:basedOn w:val="style0"/>
    <w:next w:val="style25"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2015-01-20T14:08:00.00Z</dcterms:created>
  <dc:creator>Отдел культуры</dc:creator>
  <cp:lastModifiedBy>Отдел культуры</cp:lastModifiedBy>
  <cp:lastPrinted>2015-02-27T09:24:18.37Z</cp:lastPrinted>
  <dcterms:modified xsi:type="dcterms:W3CDTF">2015-02-27T06:18:00.00Z</dcterms:modified>
  <cp:revision>7</cp:revision>
</cp:coreProperties>
</file>